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1F02" w14:textId="14930EF9" w:rsidR="000B4F78" w:rsidRDefault="00E01AAA" w:rsidP="00F10196">
      <w:pPr>
        <w:pStyle w:val="Textkrper"/>
        <w:ind w:left="113" w:right="845"/>
      </w:pPr>
      <w:r>
        <w:rPr>
          <w:noProof/>
        </w:rPr>
        <mc:AlternateContent>
          <mc:Choice Requires="wps">
            <w:drawing>
              <wp:anchor distT="0" distB="0" distL="0" distR="0" simplePos="0" relativeHeight="487319040" behindDoc="1" locked="0" layoutInCell="1" allowOverlap="1" wp14:anchorId="2317BF58" wp14:editId="611466E3">
                <wp:simplePos x="0" y="0"/>
                <wp:positionH relativeFrom="page">
                  <wp:posOffset>775245</wp:posOffset>
                </wp:positionH>
                <wp:positionV relativeFrom="paragraph">
                  <wp:posOffset>939074</wp:posOffset>
                </wp:positionV>
                <wp:extent cx="835025" cy="1517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502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BFD16" w14:textId="77777777" w:rsidR="000B4F78" w:rsidRDefault="00E01AAA">
                            <w:pPr>
                              <w:spacing w:before="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Veranstaltung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17BF5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1.05pt;margin-top:73.95pt;width:65.75pt;height:11.9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" filled="f" stroked="f">
                <v:textbox inset="0,0,0,0">
                  <w:txbxContent>
                    <w:p w14:paraId="66BBFD16" w14:textId="77777777" w:rsidR="000B4F78" w:rsidRDefault="00E01AAA">
                      <w:pPr>
                        <w:spacing w:before="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Veranstaltung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10196">
        <w:t>Bachelor Wirtschaftspädagogik (SO/PO 2024): Idealtypischer Studienverlaufsplan für</w:t>
      </w:r>
      <w:r w:rsidR="00F10196">
        <w:br/>
        <w:t xml:space="preserve">Studierende im ersten Semester </w:t>
      </w:r>
      <w:r w:rsidR="008970F8">
        <w:t xml:space="preserve">im </w:t>
      </w:r>
      <w:proofErr w:type="spellStart"/>
      <w:r w:rsidR="008970F8">
        <w:t>SoSe</w:t>
      </w:r>
      <w:proofErr w:type="spellEnd"/>
      <w:r w:rsidR="008970F8">
        <w:t xml:space="preserve"> 2026</w:t>
      </w:r>
    </w:p>
    <w:p w14:paraId="25A75D34" w14:textId="77777777" w:rsidR="000B4F78" w:rsidRDefault="000B4F78">
      <w:pPr>
        <w:pStyle w:val="Textkrper"/>
        <w:spacing w:before="28" w:after="1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282"/>
        <w:gridCol w:w="3119"/>
        <w:gridCol w:w="4229"/>
      </w:tblGrid>
      <w:tr w:rsidR="000B4F78" w14:paraId="06700532" w14:textId="77777777" w:rsidTr="00DA4969">
        <w:trPr>
          <w:trHeight w:val="398"/>
        </w:trPr>
        <w:tc>
          <w:tcPr>
            <w:tcW w:w="2282" w:type="dxa"/>
            <w:tcBorders>
              <w:bottom w:val="single" w:sz="6" w:space="0" w:color="404040"/>
            </w:tcBorders>
            <w:shd w:val="clear" w:color="auto" w:fill="BEC0BF"/>
          </w:tcPr>
          <w:p w14:paraId="20AF66B0" w14:textId="1C43D0B1" w:rsidR="000B4F78" w:rsidRDefault="008970F8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Modul</w:t>
            </w:r>
          </w:p>
        </w:tc>
        <w:tc>
          <w:tcPr>
            <w:tcW w:w="3119" w:type="dxa"/>
            <w:tcBorders>
              <w:bottom w:val="single" w:sz="6" w:space="0" w:color="404040"/>
            </w:tcBorders>
            <w:shd w:val="clear" w:color="auto" w:fill="BEC0BF"/>
          </w:tcPr>
          <w:p w14:paraId="04033CC4" w14:textId="651CD43D" w:rsidR="000B4F78" w:rsidRDefault="008970F8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Zeit/Ort</w:t>
            </w:r>
          </w:p>
        </w:tc>
        <w:tc>
          <w:tcPr>
            <w:tcW w:w="4229" w:type="dxa"/>
            <w:tcBorders>
              <w:bottom w:val="single" w:sz="6" w:space="0" w:color="404040"/>
            </w:tcBorders>
            <w:shd w:val="clear" w:color="auto" w:fill="BEC0BF"/>
          </w:tcPr>
          <w:p w14:paraId="0B3EE1FB" w14:textId="1ED7DC69" w:rsidR="000B4F78" w:rsidRDefault="008970F8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Bemerkungen</w:t>
            </w:r>
          </w:p>
        </w:tc>
      </w:tr>
      <w:tr w:rsidR="008970F8" w14:paraId="0394755B" w14:textId="77777777" w:rsidTr="00DA4969">
        <w:trPr>
          <w:trHeight w:val="938"/>
        </w:trPr>
        <w:tc>
          <w:tcPr>
            <w:tcW w:w="2282" w:type="dxa"/>
            <w:tcBorders>
              <w:top w:val="single" w:sz="6" w:space="0" w:color="404040"/>
              <w:bottom w:val="nil"/>
              <w:right w:val="single" w:sz="6" w:space="0" w:color="404040"/>
            </w:tcBorders>
            <w:shd w:val="clear" w:color="auto" w:fill="DCDCDC"/>
          </w:tcPr>
          <w:p w14:paraId="1F5C4EFF" w14:textId="473334E3" w:rsidR="008970F8" w:rsidRPr="008970F8" w:rsidRDefault="00F46C3A" w:rsidP="008970F8">
            <w:pPr>
              <w:pStyle w:val="TableParagraph"/>
              <w:spacing w:before="83"/>
              <w:rPr>
                <w:b/>
                <w:spacing w:val="-2"/>
                <w:sz w:val="18"/>
                <w:szCs w:val="20"/>
              </w:rPr>
            </w:pPr>
            <w:r>
              <w:rPr>
                <w:b/>
                <w:sz w:val="20"/>
              </w:rPr>
              <w:t>Internes Rechnungswesen</w:t>
            </w:r>
          </w:p>
          <w:p w14:paraId="12840CAF" w14:textId="10CF14DA" w:rsidR="008970F8" w:rsidRDefault="008970F8" w:rsidP="008970F8">
            <w:pPr>
              <w:pStyle w:val="TableParagraph"/>
              <w:spacing w:before="83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single" w:sz="6" w:space="0" w:color="404040"/>
              <w:left w:val="single" w:sz="6" w:space="0" w:color="404040"/>
              <w:bottom w:val="nil"/>
            </w:tcBorders>
          </w:tcPr>
          <w:p w14:paraId="4D399DC5" w14:textId="37B7EA83" w:rsidR="008970F8" w:rsidRDefault="00F46C3A" w:rsidP="00F46C3A">
            <w:pPr>
              <w:pStyle w:val="TableParagraph"/>
              <w:spacing w:before="83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VL</w:t>
            </w:r>
            <w:r w:rsidR="008970F8" w:rsidRPr="008970F8">
              <w:rPr>
                <w:sz w:val="20"/>
                <w:szCs w:val="20"/>
              </w:rPr>
              <w:t xml:space="preserve"> </w:t>
            </w:r>
            <w:r w:rsidR="008970F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Do, 8:30-10:00 Uhr, SPA 1, R. 201</w:t>
            </w:r>
            <w:r>
              <w:rPr>
                <w:sz w:val="20"/>
                <w:szCs w:val="20"/>
              </w:rPr>
              <w:br/>
            </w:r>
          </w:p>
          <w:p w14:paraId="59DE0DE7" w14:textId="1A1903D5" w:rsidR="00F46C3A" w:rsidRPr="00F10196" w:rsidRDefault="00F46C3A" w:rsidP="00F46C3A">
            <w:pPr>
              <w:pStyle w:val="TableParagraph"/>
              <w:spacing w:before="83"/>
              <w:ind w:left="0"/>
              <w:rPr>
                <w:spacing w:val="-2"/>
                <w:sz w:val="20"/>
              </w:rPr>
            </w:pPr>
            <w:hyperlink r:id="rId4" w:history="1">
              <w:r w:rsidRPr="00F46C3A">
                <w:rPr>
                  <w:rStyle w:val="Hyperlink"/>
                  <w:sz w:val="20"/>
                  <w:szCs w:val="20"/>
                </w:rPr>
                <w:t>UE</w:t>
              </w:r>
            </w:hyperlink>
            <w:r>
              <w:rPr>
                <w:sz w:val="20"/>
                <w:szCs w:val="20"/>
              </w:rPr>
              <w:br/>
            </w:r>
          </w:p>
        </w:tc>
        <w:tc>
          <w:tcPr>
            <w:tcW w:w="4229" w:type="dxa"/>
            <w:tcBorders>
              <w:top w:val="single" w:sz="6" w:space="0" w:color="404040"/>
              <w:bottom w:val="nil"/>
            </w:tcBorders>
          </w:tcPr>
          <w:p w14:paraId="507E0CC5" w14:textId="77777777" w:rsidR="008970F8" w:rsidRDefault="00F46C3A" w:rsidP="008970F8">
            <w:pPr>
              <w:pStyle w:val="TableParagraph"/>
              <w:spacing w:before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Wählen Sie eine der angebotenen Übungen aus. </w:t>
            </w:r>
          </w:p>
          <w:p w14:paraId="7C98FD72" w14:textId="77777777" w:rsidR="00F46C3A" w:rsidRDefault="00F46C3A" w:rsidP="008970F8">
            <w:pPr>
              <w:pStyle w:val="TableParagraph"/>
              <w:spacing w:before="83"/>
              <w:rPr>
                <w:sz w:val="20"/>
                <w:szCs w:val="20"/>
              </w:rPr>
            </w:pPr>
          </w:p>
          <w:p w14:paraId="4BEDF9C9" w14:textId="05A1DC79" w:rsidR="00F46C3A" w:rsidRPr="008970F8" w:rsidRDefault="00F46C3A" w:rsidP="008970F8">
            <w:pPr>
              <w:pStyle w:val="TableParagraph"/>
              <w:spacing w:before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 allen VL/UE der Wirtschaftswissenschaftlichen Fakultät ist keine Anmeldung erforderlich. </w:t>
            </w:r>
          </w:p>
        </w:tc>
      </w:tr>
      <w:tr w:rsidR="000B4F78" w14:paraId="664963A7" w14:textId="77777777" w:rsidTr="00DA4969">
        <w:trPr>
          <w:trHeight w:val="1393"/>
        </w:trPr>
        <w:tc>
          <w:tcPr>
            <w:tcW w:w="2282" w:type="dxa"/>
            <w:tcBorders>
              <w:bottom w:val="nil"/>
              <w:right w:val="single" w:sz="6" w:space="0" w:color="404040"/>
            </w:tcBorders>
            <w:shd w:val="clear" w:color="auto" w:fill="DCDCDC"/>
          </w:tcPr>
          <w:p w14:paraId="75DD503B" w14:textId="06C8E5B0" w:rsidR="000B4F78" w:rsidRDefault="00F46C3A">
            <w:pPr>
              <w:pStyle w:val="TableParagraph"/>
              <w:spacing w:before="81" w:line="249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Mathematik II*</w:t>
            </w:r>
          </w:p>
        </w:tc>
        <w:tc>
          <w:tcPr>
            <w:tcW w:w="3119" w:type="dxa"/>
            <w:tcBorders>
              <w:left w:val="single" w:sz="6" w:space="0" w:color="404040"/>
              <w:bottom w:val="nil"/>
            </w:tcBorders>
            <w:shd w:val="clear" w:color="auto" w:fill="F5F5F5"/>
          </w:tcPr>
          <w:p w14:paraId="112A68CA" w14:textId="77777777" w:rsidR="000B4F78" w:rsidRDefault="00F46C3A">
            <w:pPr>
              <w:pStyle w:val="TableParagraph"/>
              <w:spacing w:before="11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VL</w:t>
            </w:r>
          </w:p>
          <w:p w14:paraId="15C81423" w14:textId="77777777" w:rsidR="00F46C3A" w:rsidRDefault="00F46C3A">
            <w:pPr>
              <w:pStyle w:val="TableParagraph"/>
              <w:spacing w:before="11"/>
              <w:ind w:left="83"/>
              <w:rPr>
                <w:bCs/>
                <w:sz w:val="20"/>
              </w:rPr>
            </w:pPr>
            <w:r w:rsidRPr="00F46C3A">
              <w:rPr>
                <w:bCs/>
                <w:sz w:val="20"/>
              </w:rPr>
              <w:t>Di, 8:00-10:00 Uhr, SPA 1, R. 201</w:t>
            </w:r>
          </w:p>
          <w:p w14:paraId="585DBC17" w14:textId="77777777" w:rsidR="00F46C3A" w:rsidRDefault="00F46C3A">
            <w:pPr>
              <w:pStyle w:val="TableParagraph"/>
              <w:spacing w:before="11"/>
              <w:ind w:left="83"/>
              <w:rPr>
                <w:bCs/>
                <w:sz w:val="20"/>
              </w:rPr>
            </w:pPr>
          </w:p>
          <w:p w14:paraId="43C6378C" w14:textId="11242C71" w:rsidR="00F46C3A" w:rsidRPr="00F46C3A" w:rsidRDefault="00F46C3A">
            <w:pPr>
              <w:pStyle w:val="TableParagraph"/>
              <w:spacing w:before="11"/>
              <w:ind w:left="83"/>
              <w:rPr>
                <w:b/>
                <w:sz w:val="20"/>
              </w:rPr>
            </w:pPr>
            <w:hyperlink r:id="rId5" w:history="1">
              <w:r w:rsidRPr="00F46C3A">
                <w:rPr>
                  <w:rStyle w:val="Hyperlink"/>
                  <w:b/>
                  <w:sz w:val="20"/>
                </w:rPr>
                <w:t>UE</w:t>
              </w:r>
            </w:hyperlink>
          </w:p>
        </w:tc>
        <w:tc>
          <w:tcPr>
            <w:tcW w:w="4229" w:type="dxa"/>
            <w:tcBorders>
              <w:bottom w:val="nil"/>
            </w:tcBorders>
            <w:shd w:val="clear" w:color="auto" w:fill="F5F5F5"/>
          </w:tcPr>
          <w:p w14:paraId="1C939F0C" w14:textId="074E229B" w:rsidR="00F46C3A" w:rsidRPr="00DA4969" w:rsidRDefault="00F46C3A" w:rsidP="00DA4969">
            <w:pPr>
              <w:pStyle w:val="TableParagraph"/>
              <w:spacing w:before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Wählen Sie eine der angebotenen Übungen aus. </w:t>
            </w:r>
          </w:p>
        </w:tc>
      </w:tr>
      <w:tr w:rsidR="000B4F78" w14:paraId="7EB435E1" w14:textId="77777777" w:rsidTr="00DA4969">
        <w:trPr>
          <w:trHeight w:val="720"/>
        </w:trPr>
        <w:tc>
          <w:tcPr>
            <w:tcW w:w="2282" w:type="dxa"/>
            <w:tcBorders>
              <w:top w:val="nil"/>
              <w:bottom w:val="nil"/>
              <w:right w:val="single" w:sz="6" w:space="0" w:color="404040"/>
            </w:tcBorders>
            <w:shd w:val="clear" w:color="auto" w:fill="DCDCDC"/>
          </w:tcPr>
          <w:p w14:paraId="2880E4C5" w14:textId="77777777" w:rsidR="000B4F78" w:rsidRPr="00F46C3A" w:rsidRDefault="000B4F78" w:rsidP="00F46C3A">
            <w:pPr>
              <w:pStyle w:val="TableParagraph"/>
              <w:spacing w:before="11"/>
              <w:ind w:left="83"/>
              <w:rPr>
                <w:b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6" w:space="0" w:color="404040"/>
              <w:bottom w:val="nil"/>
            </w:tcBorders>
            <w:shd w:val="clear" w:color="auto" w:fill="F5F5F5"/>
          </w:tcPr>
          <w:p w14:paraId="78E9C096" w14:textId="77777777" w:rsidR="000B4F78" w:rsidRPr="00F46C3A" w:rsidRDefault="00F46C3A" w:rsidP="00F46C3A">
            <w:pPr>
              <w:pStyle w:val="TableParagraph"/>
              <w:spacing w:before="11"/>
              <w:ind w:left="83"/>
              <w:rPr>
                <w:b/>
                <w:sz w:val="20"/>
              </w:rPr>
            </w:pPr>
            <w:r w:rsidRPr="00F46C3A">
              <w:rPr>
                <w:b/>
                <w:sz w:val="20"/>
              </w:rPr>
              <w:t>Freiwillige Angebote</w:t>
            </w:r>
          </w:p>
          <w:p w14:paraId="452801A2" w14:textId="77777777" w:rsidR="00F46C3A" w:rsidRDefault="00F46C3A" w:rsidP="00F46C3A">
            <w:pPr>
              <w:pStyle w:val="TableParagraph"/>
              <w:spacing w:before="11"/>
              <w:ind w:left="83"/>
              <w:rPr>
                <w:bCs/>
                <w:sz w:val="20"/>
              </w:rPr>
            </w:pPr>
            <w:hyperlink r:id="rId6" w:history="1">
              <w:r w:rsidRPr="00F46C3A">
                <w:rPr>
                  <w:rStyle w:val="Hyperlink"/>
                  <w:bCs/>
                  <w:sz w:val="20"/>
                </w:rPr>
                <w:t>Tutorium</w:t>
              </w:r>
            </w:hyperlink>
          </w:p>
          <w:p w14:paraId="6110E097" w14:textId="77777777" w:rsidR="00F46C3A" w:rsidRDefault="00F46C3A" w:rsidP="00F46C3A">
            <w:pPr>
              <w:pStyle w:val="TableParagraph"/>
              <w:spacing w:before="11"/>
              <w:ind w:left="83"/>
              <w:rPr>
                <w:bCs/>
                <w:sz w:val="20"/>
              </w:rPr>
            </w:pPr>
          </w:p>
          <w:p w14:paraId="73D53101" w14:textId="74A5AB1B" w:rsidR="00F46C3A" w:rsidRPr="00F46C3A" w:rsidRDefault="00F46C3A" w:rsidP="00F46C3A">
            <w:pPr>
              <w:pStyle w:val="TableParagraph"/>
              <w:spacing w:before="11"/>
              <w:ind w:left="83"/>
              <w:rPr>
                <w:bCs/>
                <w:sz w:val="20"/>
              </w:rPr>
            </w:pPr>
            <w:r>
              <w:rPr>
                <w:bCs/>
                <w:sz w:val="20"/>
              </w:rPr>
              <w:t>Begleitetes Lernen</w:t>
            </w:r>
            <w:r>
              <w:rPr>
                <w:bCs/>
                <w:sz w:val="20"/>
              </w:rPr>
              <w:br/>
              <w:t>Fr, 14-18 Uhr, SPA 1, R. 125</w:t>
            </w:r>
            <w:r>
              <w:rPr>
                <w:bCs/>
                <w:sz w:val="20"/>
              </w:rPr>
              <w:br/>
            </w:r>
          </w:p>
        </w:tc>
        <w:tc>
          <w:tcPr>
            <w:tcW w:w="4229" w:type="dxa"/>
            <w:tcBorders>
              <w:top w:val="nil"/>
              <w:bottom w:val="nil"/>
            </w:tcBorders>
            <w:shd w:val="clear" w:color="auto" w:fill="F5F5F5"/>
          </w:tcPr>
          <w:p w14:paraId="7F11462D" w14:textId="77777777" w:rsidR="000B4F78" w:rsidRDefault="00F46C3A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>Für das Lernen im Fach Mathematik gibt es zusätzliche tutorielle Angebote</w:t>
            </w:r>
            <w:r w:rsidR="00423C72">
              <w:rPr>
                <w:sz w:val="20"/>
              </w:rPr>
              <w:t xml:space="preserve"> und begleitetes Lernen, die freiwillig belegt werden können. </w:t>
            </w:r>
          </w:p>
          <w:p w14:paraId="1FDF620A" w14:textId="77777777" w:rsidR="00423C72" w:rsidRDefault="00423C72">
            <w:pPr>
              <w:pStyle w:val="TableParagraph"/>
              <w:spacing w:before="11"/>
              <w:rPr>
                <w:sz w:val="20"/>
              </w:rPr>
            </w:pPr>
          </w:p>
          <w:p w14:paraId="48F8752E" w14:textId="1FBCC60E" w:rsidR="00423C72" w:rsidRDefault="00423C72">
            <w:pPr>
              <w:pStyle w:val="TableParagraph"/>
              <w:spacing w:before="11"/>
              <w:rPr>
                <w:sz w:val="20"/>
              </w:rPr>
            </w:pPr>
            <w:r>
              <w:rPr>
                <w:sz w:val="20"/>
              </w:rPr>
              <w:t xml:space="preserve">Die Inhalte aus Mathe I und Mathe II bauen nur bedingt aufeinander auf. Studierende im ersten Fachsemester können statt Mathe II auf das Modul Grundlagen der Finanzwirtschaft I belegen. </w:t>
            </w:r>
          </w:p>
        </w:tc>
      </w:tr>
      <w:tr w:rsidR="000B4F78" w14:paraId="1AAB3DA3" w14:textId="77777777" w:rsidTr="00DA4969">
        <w:trPr>
          <w:trHeight w:val="1351"/>
        </w:trPr>
        <w:tc>
          <w:tcPr>
            <w:tcW w:w="2282" w:type="dxa"/>
            <w:tcBorders>
              <w:right w:val="single" w:sz="6" w:space="0" w:color="404040"/>
            </w:tcBorders>
            <w:shd w:val="clear" w:color="auto" w:fill="DCDCDC"/>
          </w:tcPr>
          <w:p w14:paraId="28FB71D2" w14:textId="1C8CF223" w:rsidR="000B4F78" w:rsidRDefault="00423C72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Statistik I</w:t>
            </w:r>
          </w:p>
        </w:tc>
        <w:tc>
          <w:tcPr>
            <w:tcW w:w="3119" w:type="dxa"/>
            <w:tcBorders>
              <w:left w:val="single" w:sz="6" w:space="0" w:color="404040"/>
            </w:tcBorders>
          </w:tcPr>
          <w:p w14:paraId="26CF60AE" w14:textId="434E8E5A" w:rsidR="000B4F78" w:rsidRDefault="00423C72">
            <w:pPr>
              <w:pStyle w:val="TableParagraph"/>
              <w:spacing w:before="10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VL</w:t>
            </w:r>
          </w:p>
          <w:p w14:paraId="316D31D9" w14:textId="77777777" w:rsidR="00423C72" w:rsidRDefault="00423C72" w:rsidP="00423C72">
            <w:pPr>
              <w:pStyle w:val="TableParagraph"/>
              <w:spacing w:before="11"/>
              <w:ind w:left="83"/>
              <w:rPr>
                <w:sz w:val="20"/>
              </w:rPr>
            </w:pPr>
            <w:r>
              <w:rPr>
                <w:sz w:val="20"/>
              </w:rPr>
              <w:t>Einführung Mo, 13.04.2026, 14-16</w:t>
            </w:r>
            <w:r>
              <w:rPr>
                <w:sz w:val="20"/>
              </w:rPr>
              <w:br/>
              <w:t>SPA 1, R. 201</w:t>
            </w:r>
          </w:p>
          <w:p w14:paraId="1455E7E6" w14:textId="77777777" w:rsidR="00423C72" w:rsidRDefault="00423C72" w:rsidP="00423C72">
            <w:pPr>
              <w:pStyle w:val="TableParagraph"/>
              <w:spacing w:before="11"/>
              <w:ind w:left="83"/>
              <w:rPr>
                <w:sz w:val="20"/>
              </w:rPr>
            </w:pPr>
            <w:r>
              <w:rPr>
                <w:sz w:val="20"/>
              </w:rPr>
              <w:t>Fr, 10-12, SPA 1, R. 201</w:t>
            </w:r>
          </w:p>
          <w:p w14:paraId="3B4D3783" w14:textId="77777777" w:rsidR="00423C72" w:rsidRDefault="00423C72" w:rsidP="00423C72">
            <w:pPr>
              <w:pStyle w:val="TableParagraph"/>
              <w:spacing w:before="11"/>
              <w:ind w:left="83"/>
              <w:rPr>
                <w:sz w:val="20"/>
              </w:rPr>
            </w:pPr>
          </w:p>
          <w:p w14:paraId="26452C76" w14:textId="77777777" w:rsidR="00423C72" w:rsidRDefault="00423C72" w:rsidP="00423C72">
            <w:pPr>
              <w:pStyle w:val="TableParagraph"/>
              <w:spacing w:before="11"/>
              <w:ind w:left="83"/>
              <w:rPr>
                <w:sz w:val="20"/>
              </w:rPr>
            </w:pPr>
            <w:hyperlink r:id="rId7" w:history="1">
              <w:r w:rsidRPr="00423C72">
                <w:rPr>
                  <w:rStyle w:val="Hyperlink"/>
                  <w:sz w:val="20"/>
                </w:rPr>
                <w:t>UE</w:t>
              </w:r>
            </w:hyperlink>
          </w:p>
          <w:p w14:paraId="7CBCC062" w14:textId="79E3B5A4" w:rsidR="00423C72" w:rsidRDefault="00423C72" w:rsidP="00423C72">
            <w:pPr>
              <w:pStyle w:val="TableParagraph"/>
              <w:spacing w:before="11"/>
              <w:ind w:left="83"/>
              <w:rPr>
                <w:sz w:val="20"/>
              </w:rPr>
            </w:pPr>
            <w:r>
              <w:rPr>
                <w:sz w:val="20"/>
              </w:rPr>
              <w:t>Begleitetes Lernen</w:t>
            </w:r>
            <w:r>
              <w:rPr>
                <w:sz w:val="20"/>
              </w:rPr>
              <w:br/>
              <w:t>Fr, 14-16, SPA 1, R. 125</w:t>
            </w:r>
          </w:p>
        </w:tc>
        <w:tc>
          <w:tcPr>
            <w:tcW w:w="4229" w:type="dxa"/>
          </w:tcPr>
          <w:p w14:paraId="7BD30BC6" w14:textId="77777777" w:rsidR="00423C72" w:rsidRPr="00423C72" w:rsidRDefault="00423C72" w:rsidP="00423C72">
            <w:pPr>
              <w:pStyle w:val="TableParagraph"/>
              <w:spacing w:before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Wählen Sie eine der angebotenen Übungen aus. </w:t>
            </w:r>
          </w:p>
          <w:p w14:paraId="08581248" w14:textId="77777777" w:rsidR="000B4F78" w:rsidRDefault="000B4F78" w:rsidP="00423C72">
            <w:pPr>
              <w:pStyle w:val="TableParagraph"/>
              <w:spacing w:before="82"/>
              <w:ind w:left="8"/>
              <w:rPr>
                <w:sz w:val="20"/>
              </w:rPr>
            </w:pPr>
          </w:p>
          <w:p w14:paraId="702D733F" w14:textId="0FE418EA" w:rsidR="00423C72" w:rsidRDefault="00423C72" w:rsidP="00423C72">
            <w:pPr>
              <w:pStyle w:val="TableParagraph"/>
              <w:spacing w:before="82"/>
              <w:ind w:left="0"/>
              <w:rPr>
                <w:sz w:val="20"/>
              </w:rPr>
            </w:pPr>
            <w:r>
              <w:rPr>
                <w:sz w:val="20"/>
              </w:rPr>
              <w:t>Das begleitete Lernen ist ein freiwilliges Angebot.</w:t>
            </w:r>
          </w:p>
        </w:tc>
      </w:tr>
      <w:tr w:rsidR="00DA4969" w14:paraId="158901DE" w14:textId="77777777" w:rsidTr="00DA4969">
        <w:trPr>
          <w:trHeight w:val="1351"/>
        </w:trPr>
        <w:tc>
          <w:tcPr>
            <w:tcW w:w="2282" w:type="dxa"/>
            <w:tcBorders>
              <w:right w:val="single" w:sz="6" w:space="0" w:color="404040"/>
            </w:tcBorders>
            <w:shd w:val="clear" w:color="auto" w:fill="DCDCDC"/>
          </w:tcPr>
          <w:p w14:paraId="581CCD60" w14:textId="66F1AD54" w:rsidR="00DA4969" w:rsidRDefault="00DA4969">
            <w:pPr>
              <w:pStyle w:val="TableParagraph"/>
              <w:spacing w:before="81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Grundlagen der Sprachbildung</w:t>
            </w:r>
          </w:p>
        </w:tc>
        <w:tc>
          <w:tcPr>
            <w:tcW w:w="3119" w:type="dxa"/>
            <w:tcBorders>
              <w:left w:val="single" w:sz="6" w:space="0" w:color="404040"/>
            </w:tcBorders>
          </w:tcPr>
          <w:p w14:paraId="110E377D" w14:textId="77777777" w:rsidR="00DA4969" w:rsidRDefault="00DA4969" w:rsidP="00DA4969">
            <w:pPr>
              <w:rPr>
                <w:sz w:val="20"/>
                <w:szCs w:val="20"/>
              </w:rPr>
            </w:pPr>
            <w:r w:rsidRPr="00DA4969">
              <w:rPr>
                <w:b/>
                <w:bCs/>
                <w:sz w:val="20"/>
                <w:szCs w:val="20"/>
              </w:rPr>
              <w:t xml:space="preserve">VL </w:t>
            </w:r>
            <w:r w:rsidRPr="00DA4969">
              <w:rPr>
                <w:b/>
                <w:bCs/>
                <w:sz w:val="20"/>
                <w:szCs w:val="20"/>
              </w:rPr>
              <w:br/>
            </w:r>
            <w:r w:rsidRPr="00DA4969">
              <w:rPr>
                <w:sz w:val="20"/>
                <w:szCs w:val="20"/>
              </w:rPr>
              <w:t>Mo 10-12, UL6, R. 3035 ODER</w:t>
            </w:r>
            <w:r w:rsidRPr="00DA4969">
              <w:rPr>
                <w:sz w:val="20"/>
                <w:szCs w:val="20"/>
              </w:rPr>
              <w:br/>
              <w:t>Do 10-12, UL 6, R. 3035</w:t>
            </w:r>
          </w:p>
          <w:p w14:paraId="0F5DF0DA" w14:textId="77777777" w:rsidR="00DA4969" w:rsidRDefault="00DA4969" w:rsidP="00DA4969">
            <w:pPr>
              <w:rPr>
                <w:sz w:val="20"/>
                <w:szCs w:val="20"/>
              </w:rPr>
            </w:pPr>
          </w:p>
          <w:p w14:paraId="63FFCC1E" w14:textId="4B9ACBE2" w:rsidR="00DA4969" w:rsidRPr="00DA4969" w:rsidRDefault="00DA4969" w:rsidP="00DA4969">
            <w:pPr>
              <w:rPr>
                <w:sz w:val="20"/>
                <w:szCs w:val="20"/>
              </w:rPr>
            </w:pPr>
            <w:hyperlink r:id="rId8" w:history="1">
              <w:r w:rsidRPr="00DA4969">
                <w:rPr>
                  <w:rStyle w:val="Hyperlink"/>
                  <w:sz w:val="20"/>
                  <w:szCs w:val="20"/>
                </w:rPr>
                <w:t>UE</w:t>
              </w:r>
            </w:hyperlink>
          </w:p>
        </w:tc>
        <w:tc>
          <w:tcPr>
            <w:tcW w:w="4229" w:type="dxa"/>
          </w:tcPr>
          <w:p w14:paraId="39E85557" w14:textId="77777777" w:rsidR="00DA4969" w:rsidRDefault="00DA4969" w:rsidP="00423C72">
            <w:pPr>
              <w:pStyle w:val="TableParagraph"/>
              <w:spacing w:before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Wählen Sie eine der angebotenen Übungen aus. </w:t>
            </w:r>
          </w:p>
          <w:p w14:paraId="7B8F0B5B" w14:textId="77777777" w:rsidR="00DA4969" w:rsidRDefault="00DA4969" w:rsidP="00DA4969">
            <w:pPr>
              <w:pStyle w:val="TableParagraph"/>
              <w:spacing w:before="83"/>
              <w:ind w:left="0"/>
              <w:rPr>
                <w:sz w:val="20"/>
                <w:szCs w:val="20"/>
              </w:rPr>
            </w:pPr>
          </w:p>
          <w:p w14:paraId="6746787B" w14:textId="2C871C3A" w:rsidR="00DA4969" w:rsidRDefault="00DA4969" w:rsidP="00DA4969">
            <w:pPr>
              <w:pStyle w:val="TableParagraph"/>
              <w:spacing w:before="8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Aufgrund der fachlichen Anforderungen empfehlen wir den Besuch des Moduls eher im 4. bzw. 5. Semester. </w:t>
            </w:r>
          </w:p>
        </w:tc>
      </w:tr>
    </w:tbl>
    <w:p w14:paraId="36685288" w14:textId="77777777" w:rsidR="000B4F78" w:rsidRDefault="000B4F78">
      <w:pPr>
        <w:jc w:val="center"/>
        <w:rPr>
          <w:sz w:val="20"/>
        </w:rPr>
        <w:sectPr w:rsidR="000B4F78">
          <w:type w:val="continuous"/>
          <w:pgSz w:w="11910" w:h="16840"/>
          <w:pgMar w:top="1020" w:right="1020" w:bottom="2279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3210"/>
      </w:tblGrid>
      <w:tr w:rsidR="000B4F78" w14:paraId="35E1F4BF" w14:textId="77777777">
        <w:trPr>
          <w:trHeight w:val="398"/>
        </w:trPr>
        <w:tc>
          <w:tcPr>
            <w:tcW w:w="3210" w:type="dxa"/>
            <w:tcBorders>
              <w:bottom w:val="single" w:sz="6" w:space="0" w:color="404040"/>
            </w:tcBorders>
            <w:shd w:val="clear" w:color="auto" w:fill="BEC0BF"/>
          </w:tcPr>
          <w:p w14:paraId="5B330DB6" w14:textId="07F32433" w:rsidR="000B4F78" w:rsidRDefault="00E01AA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Veranstaltung</w:t>
            </w:r>
          </w:p>
        </w:tc>
        <w:tc>
          <w:tcPr>
            <w:tcW w:w="3210" w:type="dxa"/>
            <w:tcBorders>
              <w:bottom w:val="single" w:sz="6" w:space="0" w:color="404040"/>
            </w:tcBorders>
            <w:shd w:val="clear" w:color="auto" w:fill="BEC0BF"/>
          </w:tcPr>
          <w:p w14:paraId="50A1E4F2" w14:textId="77777777" w:rsidR="000B4F78" w:rsidRDefault="00E01AA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Vorlesung</w:t>
            </w:r>
          </w:p>
        </w:tc>
        <w:tc>
          <w:tcPr>
            <w:tcW w:w="3210" w:type="dxa"/>
            <w:tcBorders>
              <w:bottom w:val="single" w:sz="6" w:space="0" w:color="404040"/>
            </w:tcBorders>
            <w:shd w:val="clear" w:color="auto" w:fill="BEC0BF"/>
          </w:tcPr>
          <w:p w14:paraId="6DD8EBFB" w14:textId="77777777" w:rsidR="000B4F78" w:rsidRDefault="00E01AAA">
            <w:pPr>
              <w:pStyle w:val="TableParagraph"/>
              <w:spacing w:before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Übungen</w:t>
            </w:r>
          </w:p>
        </w:tc>
      </w:tr>
      <w:tr w:rsidR="000B4F78" w14:paraId="6F75B116" w14:textId="77777777">
        <w:trPr>
          <w:trHeight w:val="311"/>
        </w:trPr>
        <w:tc>
          <w:tcPr>
            <w:tcW w:w="3210" w:type="dxa"/>
            <w:tcBorders>
              <w:top w:val="single" w:sz="6" w:space="0" w:color="404040"/>
              <w:bottom w:val="nil"/>
              <w:right w:val="single" w:sz="6" w:space="0" w:color="404040"/>
            </w:tcBorders>
            <w:shd w:val="clear" w:color="auto" w:fill="DCDCDC"/>
          </w:tcPr>
          <w:p w14:paraId="387700E7" w14:textId="13E78A1B" w:rsidR="000B4F78" w:rsidRDefault="00423C72">
            <w:pPr>
              <w:pStyle w:val="TableParagraph"/>
              <w:spacing w:before="79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Grundlagen der </w:t>
            </w:r>
          </w:p>
        </w:tc>
        <w:tc>
          <w:tcPr>
            <w:tcW w:w="3210" w:type="dxa"/>
            <w:tcBorders>
              <w:top w:val="single" w:sz="6" w:space="0" w:color="404040"/>
              <w:left w:val="single" w:sz="6" w:space="0" w:color="404040"/>
              <w:bottom w:val="nil"/>
            </w:tcBorders>
            <w:shd w:val="clear" w:color="auto" w:fill="F5F5F5"/>
          </w:tcPr>
          <w:p w14:paraId="486A7CA1" w14:textId="4B44C9E6" w:rsidR="000B4F78" w:rsidRDefault="00423C72">
            <w:pPr>
              <w:pStyle w:val="TableParagraph"/>
              <w:spacing w:before="79" w:line="212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VL</w:t>
            </w:r>
          </w:p>
        </w:tc>
        <w:tc>
          <w:tcPr>
            <w:tcW w:w="3210" w:type="dxa"/>
            <w:tcBorders>
              <w:top w:val="single" w:sz="6" w:space="0" w:color="404040"/>
              <w:bottom w:val="nil"/>
            </w:tcBorders>
            <w:shd w:val="clear" w:color="auto" w:fill="F5F5F5"/>
          </w:tcPr>
          <w:p w14:paraId="383BF6BE" w14:textId="34B6EF1D" w:rsidR="000B4F78" w:rsidRPr="00423C72" w:rsidRDefault="00423C72" w:rsidP="00423C72">
            <w:pPr>
              <w:pStyle w:val="TableParagraph"/>
              <w:spacing w:before="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Wählen Sie eine der angebotenen </w:t>
            </w:r>
          </w:p>
        </w:tc>
      </w:tr>
      <w:tr w:rsidR="000B4F78" w14:paraId="3DDB8E1F" w14:textId="77777777">
        <w:trPr>
          <w:trHeight w:val="239"/>
        </w:trPr>
        <w:tc>
          <w:tcPr>
            <w:tcW w:w="3210" w:type="dxa"/>
            <w:tcBorders>
              <w:top w:val="nil"/>
              <w:bottom w:val="nil"/>
              <w:right w:val="single" w:sz="6" w:space="0" w:color="404040"/>
            </w:tcBorders>
            <w:shd w:val="clear" w:color="auto" w:fill="DCDCDC"/>
          </w:tcPr>
          <w:p w14:paraId="11177F92" w14:textId="3E2F4506" w:rsidR="000B4F78" w:rsidRDefault="00423C72">
            <w:pPr>
              <w:pStyle w:val="TableParagraph"/>
              <w:spacing w:before="8"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Finanzwirtschaft I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3210" w:type="dxa"/>
            <w:tcBorders>
              <w:top w:val="nil"/>
              <w:left w:val="single" w:sz="6" w:space="0" w:color="404040"/>
              <w:bottom w:val="nil"/>
            </w:tcBorders>
            <w:shd w:val="clear" w:color="auto" w:fill="F5F5F5"/>
          </w:tcPr>
          <w:p w14:paraId="2EF36EF8" w14:textId="77777777" w:rsidR="000B4F78" w:rsidRDefault="00423C72">
            <w:pPr>
              <w:pStyle w:val="TableParagraph"/>
              <w:spacing w:before="8" w:line="212" w:lineRule="exact"/>
              <w:ind w:left="83"/>
              <w:rPr>
                <w:bCs/>
                <w:sz w:val="20"/>
              </w:rPr>
            </w:pPr>
            <w:r w:rsidRPr="00423C72">
              <w:rPr>
                <w:bCs/>
                <w:sz w:val="20"/>
              </w:rPr>
              <w:t>Do, 10-12, SPA 1, R. 201</w:t>
            </w:r>
          </w:p>
          <w:p w14:paraId="10B4D108" w14:textId="77777777" w:rsidR="00423C72" w:rsidRDefault="00423C72">
            <w:pPr>
              <w:pStyle w:val="TableParagraph"/>
              <w:spacing w:before="8" w:line="212" w:lineRule="exact"/>
              <w:ind w:left="83"/>
              <w:rPr>
                <w:bCs/>
                <w:sz w:val="20"/>
              </w:rPr>
            </w:pPr>
          </w:p>
          <w:p w14:paraId="4D85D124" w14:textId="219AF5E4" w:rsidR="00423C72" w:rsidRPr="00423C72" w:rsidRDefault="00423C72">
            <w:pPr>
              <w:pStyle w:val="TableParagraph"/>
              <w:spacing w:before="8" w:line="212" w:lineRule="exact"/>
              <w:ind w:left="83"/>
              <w:rPr>
                <w:bCs/>
                <w:sz w:val="20"/>
              </w:rPr>
            </w:pPr>
            <w:hyperlink r:id="rId9" w:history="1">
              <w:r w:rsidRPr="00423C72">
                <w:rPr>
                  <w:rStyle w:val="Hyperlink"/>
                  <w:bCs/>
                  <w:sz w:val="20"/>
                </w:rPr>
                <w:t>UE</w:t>
              </w:r>
            </w:hyperlink>
          </w:p>
        </w:tc>
        <w:tc>
          <w:tcPr>
            <w:tcW w:w="3210" w:type="dxa"/>
            <w:tcBorders>
              <w:top w:val="nil"/>
              <w:bottom w:val="nil"/>
            </w:tcBorders>
            <w:shd w:val="clear" w:color="auto" w:fill="F5F5F5"/>
          </w:tcPr>
          <w:p w14:paraId="21B52866" w14:textId="6900017A" w:rsidR="000B4F78" w:rsidRDefault="00423C72" w:rsidP="00423C72">
            <w:pPr>
              <w:pStyle w:val="TableParagraph"/>
              <w:spacing w:before="83"/>
              <w:rPr>
                <w:rFonts w:ascii="Times New Roman"/>
                <w:sz w:val="16"/>
              </w:rPr>
            </w:pPr>
            <w:r>
              <w:rPr>
                <w:sz w:val="20"/>
                <w:szCs w:val="20"/>
              </w:rPr>
              <w:t>Übungen aus.</w:t>
            </w:r>
          </w:p>
        </w:tc>
      </w:tr>
      <w:tr w:rsidR="000B4F78" w14:paraId="5849E8F6" w14:textId="77777777">
        <w:trPr>
          <w:trHeight w:val="242"/>
        </w:trPr>
        <w:tc>
          <w:tcPr>
            <w:tcW w:w="3210" w:type="dxa"/>
            <w:tcBorders>
              <w:top w:val="nil"/>
              <w:bottom w:val="nil"/>
              <w:right w:val="single" w:sz="6" w:space="0" w:color="404040"/>
            </w:tcBorders>
            <w:shd w:val="clear" w:color="auto" w:fill="DCDCDC"/>
          </w:tcPr>
          <w:p w14:paraId="2AE81687" w14:textId="77777777" w:rsidR="000B4F78" w:rsidRDefault="000B4F7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10" w:type="dxa"/>
            <w:tcBorders>
              <w:top w:val="nil"/>
              <w:left w:val="single" w:sz="6" w:space="0" w:color="404040"/>
              <w:bottom w:val="nil"/>
            </w:tcBorders>
            <w:shd w:val="clear" w:color="auto" w:fill="F5F5F5"/>
          </w:tcPr>
          <w:p w14:paraId="24B4F5A9" w14:textId="6BA82C70" w:rsidR="000B4F78" w:rsidRDefault="000B4F78">
            <w:pPr>
              <w:pStyle w:val="TableParagraph"/>
              <w:spacing w:before="8" w:line="215" w:lineRule="exact"/>
              <w:ind w:left="83"/>
              <w:rPr>
                <w:b/>
                <w:sz w:val="20"/>
              </w:rPr>
            </w:pPr>
          </w:p>
        </w:tc>
        <w:tc>
          <w:tcPr>
            <w:tcW w:w="3210" w:type="dxa"/>
            <w:tcBorders>
              <w:top w:val="nil"/>
              <w:bottom w:val="nil"/>
            </w:tcBorders>
            <w:shd w:val="clear" w:color="auto" w:fill="F5F5F5"/>
          </w:tcPr>
          <w:p w14:paraId="4D412C36" w14:textId="76176783" w:rsidR="000B4F78" w:rsidRPr="00DA4969" w:rsidRDefault="00DA4969" w:rsidP="00DA4969">
            <w:pPr>
              <w:pStyle w:val="TableParagraph"/>
              <w:spacing w:before="83"/>
              <w:rPr>
                <w:sz w:val="20"/>
                <w:szCs w:val="20"/>
              </w:rPr>
            </w:pPr>
            <w:r w:rsidRPr="00DA4969">
              <w:rPr>
                <w:sz w:val="20"/>
                <w:szCs w:val="20"/>
              </w:rPr>
              <w:t xml:space="preserve">Dieses Modul kann als Alternative zu Mathe II in das zweite Modul vorgezogen werden. </w:t>
            </w:r>
          </w:p>
        </w:tc>
      </w:tr>
      <w:tr w:rsidR="000B4F78" w14:paraId="46A6C414" w14:textId="77777777">
        <w:trPr>
          <w:trHeight w:val="555"/>
        </w:trPr>
        <w:tc>
          <w:tcPr>
            <w:tcW w:w="3210" w:type="dxa"/>
            <w:tcBorders>
              <w:top w:val="nil"/>
              <w:right w:val="single" w:sz="6" w:space="0" w:color="404040"/>
            </w:tcBorders>
            <w:shd w:val="clear" w:color="auto" w:fill="DCDCDC"/>
          </w:tcPr>
          <w:p w14:paraId="267AFAF0" w14:textId="77777777" w:rsidR="000B4F78" w:rsidRDefault="000B4F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  <w:tcBorders>
              <w:top w:val="nil"/>
              <w:left w:val="single" w:sz="6" w:space="0" w:color="404040"/>
            </w:tcBorders>
            <w:shd w:val="clear" w:color="auto" w:fill="F5F5F5"/>
          </w:tcPr>
          <w:p w14:paraId="56F98D4C" w14:textId="2DBDB023" w:rsidR="000B4F78" w:rsidRDefault="000B4F78">
            <w:pPr>
              <w:pStyle w:val="TableParagraph"/>
              <w:spacing w:before="6"/>
              <w:ind w:left="83"/>
              <w:rPr>
                <w:sz w:val="20"/>
              </w:rPr>
            </w:pPr>
          </w:p>
        </w:tc>
        <w:tc>
          <w:tcPr>
            <w:tcW w:w="3210" w:type="dxa"/>
            <w:tcBorders>
              <w:top w:val="nil"/>
            </w:tcBorders>
            <w:shd w:val="clear" w:color="auto" w:fill="F5F5F5"/>
          </w:tcPr>
          <w:p w14:paraId="3EAE7AB8" w14:textId="77777777" w:rsidR="000B4F78" w:rsidRPr="00DA4969" w:rsidRDefault="000B4F78" w:rsidP="00DA4969">
            <w:pPr>
              <w:pStyle w:val="TableParagraph"/>
              <w:spacing w:before="83"/>
              <w:rPr>
                <w:sz w:val="20"/>
                <w:szCs w:val="20"/>
              </w:rPr>
            </w:pPr>
          </w:p>
        </w:tc>
      </w:tr>
    </w:tbl>
    <w:p w14:paraId="415DE5BE" w14:textId="77777777" w:rsidR="000B4F78" w:rsidRDefault="000B4F78">
      <w:pPr>
        <w:spacing w:line="249" w:lineRule="auto"/>
        <w:rPr>
          <w:sz w:val="20"/>
        </w:rPr>
        <w:sectPr w:rsidR="000B4F78">
          <w:type w:val="continuous"/>
          <w:pgSz w:w="11910" w:h="16840"/>
          <w:pgMar w:top="1100" w:right="1020" w:bottom="280" w:left="1020" w:header="720" w:footer="720" w:gutter="0"/>
          <w:cols w:space="720"/>
        </w:sectPr>
      </w:pPr>
    </w:p>
    <w:p w14:paraId="4A438B48" w14:textId="7F716BC1" w:rsidR="000B4F78" w:rsidRDefault="008970F8">
      <w:pPr>
        <w:pStyle w:val="Textkrper"/>
        <w:spacing w:before="95"/>
        <w:ind w:left="113"/>
      </w:pPr>
      <w:r>
        <w:lastRenderedPageBreak/>
        <w:t>Alternative Modulwahl</w:t>
      </w:r>
    </w:p>
    <w:p w14:paraId="1C431A28" w14:textId="77777777" w:rsidR="000B4F78" w:rsidRDefault="000B4F78">
      <w:pPr>
        <w:pStyle w:val="Textkrper"/>
      </w:pPr>
    </w:p>
    <w:p w14:paraId="554F3191" w14:textId="77777777" w:rsidR="000B4F78" w:rsidRDefault="000B4F78">
      <w:pPr>
        <w:pStyle w:val="Textkrper"/>
        <w:spacing w:before="15"/>
      </w:pPr>
    </w:p>
    <w:tbl>
      <w:tblPr>
        <w:tblStyle w:val="TableNormal"/>
        <w:tblW w:w="0" w:type="auto"/>
        <w:tblInd w:w="12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10"/>
        <w:gridCol w:w="3210"/>
      </w:tblGrid>
      <w:tr w:rsidR="008970F8" w:rsidRPr="008970F8" w14:paraId="1914F4D4" w14:textId="77777777" w:rsidTr="006D4553">
        <w:trPr>
          <w:trHeight w:val="938"/>
        </w:trPr>
        <w:tc>
          <w:tcPr>
            <w:tcW w:w="3210" w:type="dxa"/>
            <w:tcBorders>
              <w:top w:val="single" w:sz="6" w:space="0" w:color="404040"/>
              <w:bottom w:val="nil"/>
              <w:right w:val="single" w:sz="6" w:space="0" w:color="404040"/>
            </w:tcBorders>
            <w:shd w:val="clear" w:color="auto" w:fill="DCDCDC"/>
          </w:tcPr>
          <w:p w14:paraId="3D3FCAB7" w14:textId="37980F7E" w:rsidR="008970F8" w:rsidRPr="008970F8" w:rsidRDefault="008970F8" w:rsidP="006D4553">
            <w:pPr>
              <w:pStyle w:val="TableParagraph"/>
              <w:spacing w:before="10"/>
              <w:ind w:left="83"/>
              <w:rPr>
                <w:b/>
                <w:sz w:val="20"/>
              </w:rPr>
            </w:pPr>
            <w:r w:rsidRPr="008970F8">
              <w:rPr>
                <w:b/>
                <w:sz w:val="20"/>
              </w:rPr>
              <w:t>Wipäd-</w:t>
            </w:r>
            <w:r>
              <w:rPr>
                <w:b/>
                <w:sz w:val="20"/>
              </w:rPr>
              <w:t>B02</w:t>
            </w:r>
            <w:r w:rsidRPr="008970F8">
              <w:rPr>
                <w:b/>
                <w:sz w:val="20"/>
              </w:rPr>
              <w:t>, 7 LP</w:t>
            </w:r>
          </w:p>
          <w:p w14:paraId="5350B535" w14:textId="77777777" w:rsidR="008970F8" w:rsidRPr="008970F8" w:rsidRDefault="008970F8" w:rsidP="006D4553">
            <w:pPr>
              <w:pStyle w:val="TableParagraph"/>
              <w:spacing w:before="83"/>
              <w:rPr>
                <w:b/>
                <w:spacing w:val="-2"/>
                <w:sz w:val="18"/>
                <w:szCs w:val="20"/>
              </w:rPr>
            </w:pPr>
            <w:r w:rsidRPr="008970F8">
              <w:rPr>
                <w:sz w:val="20"/>
                <w:szCs w:val="20"/>
              </w:rPr>
              <w:t>berufs- und wirtschaftsdidaktische Reflexionen</w:t>
            </w:r>
          </w:p>
          <w:p w14:paraId="5A448D37" w14:textId="77777777" w:rsidR="008970F8" w:rsidRDefault="008970F8" w:rsidP="006D4553">
            <w:pPr>
              <w:pStyle w:val="TableParagraph"/>
              <w:spacing w:before="83"/>
              <w:rPr>
                <w:b/>
                <w:sz w:val="20"/>
              </w:rPr>
            </w:pPr>
          </w:p>
        </w:tc>
        <w:tc>
          <w:tcPr>
            <w:tcW w:w="3210" w:type="dxa"/>
            <w:tcBorders>
              <w:top w:val="single" w:sz="6" w:space="0" w:color="404040"/>
              <w:left w:val="single" w:sz="6" w:space="0" w:color="404040"/>
              <w:bottom w:val="nil"/>
            </w:tcBorders>
          </w:tcPr>
          <w:p w14:paraId="12EA6474" w14:textId="77777777" w:rsidR="008970F8" w:rsidRDefault="008970F8" w:rsidP="006D4553">
            <w:pPr>
              <w:pStyle w:val="TableParagraph"/>
              <w:spacing w:before="83"/>
              <w:ind w:left="0"/>
              <w:rPr>
                <w:sz w:val="20"/>
                <w:szCs w:val="20"/>
              </w:rPr>
            </w:pPr>
            <w:r w:rsidRPr="008970F8">
              <w:rPr>
                <w:b/>
                <w:sz w:val="20"/>
              </w:rPr>
              <w:t>SE Curriculare Konstruktionen in der beruflichen Bildung</w:t>
            </w:r>
            <w:r w:rsidRPr="008970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  </w:t>
            </w:r>
            <w:r w:rsidRPr="008970F8">
              <w:rPr>
                <w:sz w:val="20"/>
                <w:szCs w:val="20"/>
              </w:rPr>
              <w:t xml:space="preserve">Di 10-14, 14tgl./1, GS 7, R311 </w:t>
            </w:r>
          </w:p>
          <w:p w14:paraId="451C7814" w14:textId="77777777" w:rsidR="008970F8" w:rsidRPr="00F10196" w:rsidRDefault="008970F8" w:rsidP="006D4553">
            <w:pPr>
              <w:pStyle w:val="TableParagraph"/>
              <w:spacing w:before="10"/>
              <w:rPr>
                <w:spacing w:val="-2"/>
                <w:sz w:val="20"/>
              </w:rPr>
            </w:pPr>
            <w:r>
              <w:rPr>
                <w:sz w:val="20"/>
                <w:szCs w:val="20"/>
              </w:rPr>
              <w:t xml:space="preserve">ODER </w:t>
            </w:r>
            <w:r w:rsidRPr="008970F8">
              <w:rPr>
                <w:sz w:val="20"/>
                <w:szCs w:val="20"/>
              </w:rPr>
              <w:t>Mi 10-12, online</w:t>
            </w:r>
          </w:p>
        </w:tc>
        <w:tc>
          <w:tcPr>
            <w:tcW w:w="3210" w:type="dxa"/>
            <w:tcBorders>
              <w:top w:val="single" w:sz="6" w:space="0" w:color="404040"/>
              <w:bottom w:val="nil"/>
            </w:tcBorders>
          </w:tcPr>
          <w:p w14:paraId="70376B1C" w14:textId="77777777" w:rsidR="008970F8" w:rsidRPr="008970F8" w:rsidRDefault="008970F8" w:rsidP="006D4553">
            <w:pPr>
              <w:pStyle w:val="TableParagraph"/>
              <w:spacing w:before="83"/>
              <w:rPr>
                <w:sz w:val="20"/>
                <w:szCs w:val="20"/>
              </w:rPr>
            </w:pPr>
            <w:r w:rsidRPr="008970F8">
              <w:rPr>
                <w:sz w:val="20"/>
                <w:szCs w:val="20"/>
              </w:rPr>
              <w:t xml:space="preserve">Wählen Sie eine der beiden Gruppen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spellStart"/>
            <w:r w:rsidRPr="008970F8">
              <w:rPr>
                <w:sz w:val="20"/>
                <w:szCs w:val="20"/>
              </w:rPr>
              <w:t>Blended</w:t>
            </w:r>
            <w:proofErr w:type="spellEnd"/>
            <w:r w:rsidRPr="008970F8">
              <w:rPr>
                <w:sz w:val="20"/>
                <w:szCs w:val="20"/>
              </w:rPr>
              <w:t xml:space="preserve"> Learning: In 14tgl./2 asynchrone Aufgabe für die jeweils andere Woche</w:t>
            </w:r>
          </w:p>
        </w:tc>
      </w:tr>
      <w:tr w:rsidR="008970F8" w:rsidRPr="008970F8" w14:paraId="38DC5EE3" w14:textId="77777777" w:rsidTr="006D4553">
        <w:trPr>
          <w:trHeight w:val="720"/>
        </w:trPr>
        <w:tc>
          <w:tcPr>
            <w:tcW w:w="3210" w:type="dxa"/>
            <w:tcBorders>
              <w:top w:val="nil"/>
              <w:bottom w:val="nil"/>
              <w:right w:val="single" w:sz="6" w:space="0" w:color="404040"/>
            </w:tcBorders>
            <w:shd w:val="clear" w:color="auto" w:fill="DCDCDC"/>
          </w:tcPr>
          <w:p w14:paraId="540132F8" w14:textId="77777777" w:rsidR="008970F8" w:rsidRDefault="008970F8" w:rsidP="006D45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  <w:tcBorders>
              <w:top w:val="nil"/>
              <w:left w:val="single" w:sz="6" w:space="0" w:color="404040"/>
              <w:bottom w:val="nil"/>
            </w:tcBorders>
          </w:tcPr>
          <w:p w14:paraId="4D0D38A6" w14:textId="77777777" w:rsidR="008970F8" w:rsidRPr="008970F8" w:rsidRDefault="008970F8" w:rsidP="006D4553">
            <w:pPr>
              <w:pStyle w:val="TableParagraph"/>
              <w:spacing w:before="83"/>
              <w:ind w:left="0"/>
              <w:rPr>
                <w:rFonts w:ascii="Times New Roman"/>
                <w:sz w:val="20"/>
                <w:szCs w:val="20"/>
              </w:rPr>
            </w:pPr>
            <w:r w:rsidRPr="008970F8">
              <w:rPr>
                <w:sz w:val="20"/>
                <w:szCs w:val="20"/>
              </w:rPr>
              <w:t xml:space="preserve">  </w:t>
            </w:r>
          </w:p>
          <w:p w14:paraId="0F430901" w14:textId="77777777" w:rsidR="008970F8" w:rsidRDefault="008970F8" w:rsidP="006D4553">
            <w:pPr>
              <w:rPr>
                <w:b/>
                <w:bCs/>
                <w:sz w:val="20"/>
                <w:szCs w:val="20"/>
              </w:rPr>
            </w:pPr>
          </w:p>
          <w:p w14:paraId="19BD36E5" w14:textId="77777777" w:rsidR="008970F8" w:rsidRPr="008970F8" w:rsidRDefault="008970F8" w:rsidP="006D4553">
            <w:pPr>
              <w:rPr>
                <w:b/>
                <w:bCs/>
                <w:sz w:val="20"/>
                <w:szCs w:val="20"/>
              </w:rPr>
            </w:pPr>
            <w:r w:rsidRPr="008970F8">
              <w:rPr>
                <w:b/>
                <w:bCs/>
                <w:sz w:val="20"/>
                <w:szCs w:val="20"/>
              </w:rPr>
              <w:t xml:space="preserve">SE und </w:t>
            </w:r>
            <w:proofErr w:type="gramStart"/>
            <w:r w:rsidRPr="008970F8">
              <w:rPr>
                <w:b/>
                <w:bCs/>
                <w:sz w:val="20"/>
                <w:szCs w:val="20"/>
              </w:rPr>
              <w:t>UE Organisation</w:t>
            </w:r>
            <w:proofErr w:type="gramEnd"/>
            <w:r w:rsidRPr="008970F8">
              <w:rPr>
                <w:b/>
                <w:bCs/>
                <w:sz w:val="20"/>
                <w:szCs w:val="20"/>
              </w:rPr>
              <w:t xml:space="preserve"> und Gestaltung von Lehr-Lern-Prozessen</w:t>
            </w:r>
          </w:p>
          <w:p w14:paraId="0AEFA644" w14:textId="77777777" w:rsidR="008970F8" w:rsidRPr="008970F8" w:rsidRDefault="008970F8" w:rsidP="006D4553">
            <w:pPr>
              <w:pStyle w:val="TableParagraph"/>
              <w:spacing w:before="83"/>
              <w:rPr>
                <w:rFonts w:ascii="Times New Roman"/>
                <w:sz w:val="20"/>
                <w:szCs w:val="20"/>
              </w:rPr>
            </w:pPr>
            <w:r w:rsidRPr="008970F8">
              <w:rPr>
                <w:sz w:val="20"/>
                <w:szCs w:val="20"/>
              </w:rPr>
              <w:t>Di 10-12, 14tgl./2, GS 7, R. 311 oder hybrid</w:t>
            </w:r>
          </w:p>
        </w:tc>
        <w:tc>
          <w:tcPr>
            <w:tcW w:w="3210" w:type="dxa"/>
            <w:tcBorders>
              <w:top w:val="nil"/>
              <w:bottom w:val="nil"/>
            </w:tcBorders>
          </w:tcPr>
          <w:p w14:paraId="26CA4596" w14:textId="77777777" w:rsidR="008970F8" w:rsidRPr="008970F8" w:rsidRDefault="008970F8" w:rsidP="006D4553">
            <w:pPr>
              <w:pStyle w:val="TableParagraph"/>
              <w:spacing w:before="120"/>
              <w:ind w:left="79"/>
              <w:rPr>
                <w:sz w:val="20"/>
                <w:szCs w:val="20"/>
              </w:rPr>
            </w:pPr>
            <w:r w:rsidRPr="008970F8">
              <w:rPr>
                <w:sz w:val="20"/>
                <w:szCs w:val="20"/>
              </w:rPr>
              <w:br/>
            </w:r>
            <w:r w:rsidRPr="008970F8">
              <w:rPr>
                <w:sz w:val="20"/>
                <w:szCs w:val="20"/>
              </w:rPr>
              <w:br/>
            </w:r>
            <w:proofErr w:type="spellStart"/>
            <w:r w:rsidRPr="008970F8">
              <w:rPr>
                <w:sz w:val="20"/>
                <w:szCs w:val="20"/>
              </w:rPr>
              <w:t>Blended</w:t>
            </w:r>
            <w:proofErr w:type="spellEnd"/>
            <w:r w:rsidRPr="008970F8">
              <w:rPr>
                <w:sz w:val="20"/>
                <w:szCs w:val="20"/>
              </w:rPr>
              <w:t xml:space="preserve"> Learning: In 14tgl./2 asynchrone Aufgabe für die jeweils andere Woche</w:t>
            </w:r>
          </w:p>
        </w:tc>
      </w:tr>
      <w:tr w:rsidR="008970F8" w14:paraId="1E26785D" w14:textId="77777777" w:rsidTr="006D4553">
        <w:trPr>
          <w:trHeight w:val="917"/>
        </w:trPr>
        <w:tc>
          <w:tcPr>
            <w:tcW w:w="3210" w:type="dxa"/>
            <w:tcBorders>
              <w:top w:val="nil"/>
              <w:right w:val="single" w:sz="6" w:space="0" w:color="404040"/>
            </w:tcBorders>
            <w:shd w:val="clear" w:color="auto" w:fill="DCDCDC"/>
          </w:tcPr>
          <w:p w14:paraId="79310AAB" w14:textId="77777777" w:rsidR="008970F8" w:rsidRDefault="008970F8" w:rsidP="006D45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  <w:tcBorders>
              <w:top w:val="nil"/>
              <w:left w:val="single" w:sz="6" w:space="0" w:color="404040"/>
            </w:tcBorders>
          </w:tcPr>
          <w:p w14:paraId="69734B03" w14:textId="77777777" w:rsidR="008970F8" w:rsidRDefault="008970F8" w:rsidP="006D45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711ACE7" w14:textId="77777777" w:rsidR="008970F8" w:rsidRPr="008970F8" w:rsidRDefault="008970F8" w:rsidP="006D4553">
            <w:pPr>
              <w:pStyle w:val="TableParagraph"/>
              <w:spacing w:before="83"/>
              <w:rPr>
                <w:rFonts w:ascii="Times New Roman"/>
                <w:sz w:val="20"/>
                <w:szCs w:val="20"/>
              </w:rPr>
            </w:pPr>
            <w:proofErr w:type="gramStart"/>
            <w:r w:rsidRPr="008970F8">
              <w:rPr>
                <w:b/>
                <w:bCs/>
                <w:sz w:val="20"/>
                <w:szCs w:val="20"/>
              </w:rPr>
              <w:t>VL Einführung</w:t>
            </w:r>
            <w:proofErr w:type="gramEnd"/>
            <w:r w:rsidRPr="008970F8">
              <w:rPr>
                <w:b/>
                <w:bCs/>
                <w:sz w:val="20"/>
                <w:szCs w:val="20"/>
              </w:rPr>
              <w:t xml:space="preserve"> in die Berufs- und Wirtschaftspädagogik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8970F8">
              <w:rPr>
                <w:rFonts w:ascii="Times New Roman"/>
                <w:sz w:val="20"/>
                <w:szCs w:val="20"/>
              </w:rPr>
              <w:t xml:space="preserve"> </w:t>
            </w:r>
            <w:r w:rsidRPr="008970F8">
              <w:rPr>
                <w:rFonts w:ascii="Times New Roman"/>
                <w:sz w:val="20"/>
                <w:szCs w:val="20"/>
              </w:rPr>
              <w:br/>
            </w:r>
            <w:r w:rsidRPr="008970F8">
              <w:rPr>
                <w:sz w:val="20"/>
                <w:szCs w:val="20"/>
              </w:rPr>
              <w:t>Di, 10-14, 14tgl./1, DOR 24, 1.205</w:t>
            </w:r>
            <w:r w:rsidRPr="008970F8">
              <w:rPr>
                <w:rFonts w:ascii="Times New Roman"/>
                <w:sz w:val="20"/>
                <w:szCs w:val="20"/>
              </w:rPr>
              <w:t xml:space="preserve"> </w:t>
            </w:r>
          </w:p>
          <w:p w14:paraId="4C22C23B" w14:textId="77777777" w:rsidR="008970F8" w:rsidRDefault="008970F8" w:rsidP="006D455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10" w:type="dxa"/>
            <w:tcBorders>
              <w:top w:val="nil"/>
            </w:tcBorders>
          </w:tcPr>
          <w:p w14:paraId="6C8220A1" w14:textId="77777777" w:rsidR="008970F8" w:rsidRDefault="008970F8" w:rsidP="006D4553">
            <w:pPr>
              <w:pStyle w:val="TableParagraph"/>
              <w:spacing w:before="11"/>
              <w:rPr>
                <w:sz w:val="20"/>
              </w:rPr>
            </w:pPr>
          </w:p>
          <w:p w14:paraId="572AC077" w14:textId="5EFF508B" w:rsidR="008970F8" w:rsidRDefault="008970F8" w:rsidP="006D4553">
            <w:pPr>
              <w:pStyle w:val="TableParagraph"/>
              <w:spacing w:before="11"/>
              <w:ind w:left="0"/>
              <w:rPr>
                <w:sz w:val="20"/>
              </w:rPr>
            </w:pPr>
            <w:r>
              <w:rPr>
                <w:sz w:val="20"/>
              </w:rPr>
              <w:t>Die VL ist nur für Studierende im Zweitfach Wirtschaftspädagogik ein Teil des Moduls</w:t>
            </w:r>
            <w:r>
              <w:rPr>
                <w:sz w:val="20"/>
              </w:rPr>
              <w:t xml:space="preserve"> (8 statt 7LP für das Modul insgesamt). Studierende im Erstfach können die VL auch </w:t>
            </w:r>
            <w:r w:rsidR="00F46C3A">
              <w:rPr>
                <w:sz w:val="20"/>
              </w:rPr>
              <w:t xml:space="preserve">im </w:t>
            </w:r>
            <w:proofErr w:type="spellStart"/>
            <w:r w:rsidR="00F46C3A">
              <w:rPr>
                <w:sz w:val="20"/>
              </w:rPr>
              <w:t>SoSe</w:t>
            </w:r>
            <w:proofErr w:type="spellEnd"/>
            <w:r w:rsidR="00F46C3A">
              <w:rPr>
                <w:sz w:val="20"/>
              </w:rPr>
              <w:t xml:space="preserve"> einzeln besuchen, der Rest des Moduls BA-BW-BS wird im </w:t>
            </w:r>
            <w:proofErr w:type="spellStart"/>
            <w:r w:rsidR="00F46C3A">
              <w:rPr>
                <w:sz w:val="20"/>
              </w:rPr>
              <w:t>WiSe</w:t>
            </w:r>
            <w:proofErr w:type="spellEnd"/>
            <w:r w:rsidR="00F46C3A">
              <w:rPr>
                <w:sz w:val="20"/>
              </w:rPr>
              <w:t xml:space="preserve"> angeboten. </w:t>
            </w:r>
          </w:p>
        </w:tc>
      </w:tr>
    </w:tbl>
    <w:p w14:paraId="0FC50895" w14:textId="77777777" w:rsidR="000B4F78" w:rsidRDefault="000B4F78" w:rsidP="008970F8">
      <w:pPr>
        <w:spacing w:line="367" w:lineRule="auto"/>
        <w:ind w:left="113" w:right="2941"/>
      </w:pPr>
    </w:p>
    <w:sectPr w:rsidR="000B4F78" w:rsidSect="00DF0C6B">
      <w:pgSz w:w="11910" w:h="16840"/>
      <w:pgMar w:top="10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78"/>
    <w:rsid w:val="000B4F78"/>
    <w:rsid w:val="00423C72"/>
    <w:rsid w:val="00620F60"/>
    <w:rsid w:val="008970F8"/>
    <w:rsid w:val="00DA4969"/>
    <w:rsid w:val="00DF0C6B"/>
    <w:rsid w:val="00E01AAA"/>
    <w:rsid w:val="00F10196"/>
    <w:rsid w:val="00F4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0F08"/>
  <w15:docId w15:val="{075CF03D-0CC2-41D2-B5F0-8C8663D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82"/>
    </w:pPr>
  </w:style>
  <w:style w:type="character" w:styleId="Hyperlink">
    <w:name w:val="Hyperlink"/>
    <w:basedOn w:val="Absatz-Standardschriftart"/>
    <w:uiPriority w:val="99"/>
    <w:unhideWhenUsed/>
    <w:rsid w:val="00F101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0196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970F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970F8"/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nes.hu-berlin.de/lupo/rds?state=verpublish&amp;status=init&amp;vmfile=no&amp;publishid=244545&amp;moduleCall=webInfo&amp;publishConfFile=webInfo&amp;publishSubDir=veranstaltu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gnes.hu-berlin.de/lupo/rds?state=verpublish&amp;status=init&amp;vmfile=no&amp;publishid=240343&amp;moduleCall=webInfo&amp;publishConfFile=webInfo&amp;publishSubDir=veranstaltu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nes.hu-berlin.de/lupo/rds?state=verpublish&amp;status=init&amp;vmfile=no&amp;publishid=240359&amp;moduleCall=webInfo&amp;publishConfFile=webInfo&amp;publishSubDir=veranstaltu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gnes.hu-berlin.de/lupo/rds?state=verpublish&amp;status=init&amp;vmfile=no&amp;publishid=240354&amp;moduleCall=webInfo&amp;publishConfFile=webInfo&amp;publishSubDir=veranstaltu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gnes.hu-berlin.de/lupo/rds?state=verpublish&amp;status=init&amp;vmfile=no&amp;publishid=240337&amp;moduleCall=webInfo&amp;publishConfFile=webInfo&amp;publishSubDir=veranstaltung" TargetMode="External"/><Relationship Id="rId9" Type="http://schemas.openxmlformats.org/officeDocument/2006/relationships/hyperlink" Target="https://agnes.hu-berlin.de/lupo/rds?state=verpublish&amp;status=init&amp;vmfile=no&amp;publishid=240342&amp;moduleCall=webInfo&amp;publishConfFile=webInfo&amp;publishSubDir=veranstaltu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Musterstundenplan WiSe25:26 Bachelor</vt:lpstr>
    </vt:vector>
  </TitlesOfParts>
  <Company>Humboldt-Universitaet zu Berlin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Musterstundenplan WiSe25:26 Bachelor</dc:title>
  <dc:creator>Cornelia CW. Wagner</dc:creator>
  <cp:lastModifiedBy>Cornelia CW. Wagner</cp:lastModifiedBy>
  <cp:revision>2</cp:revision>
  <cp:lastPrinted>2025-09-15T14:43:00Z</cp:lastPrinted>
  <dcterms:created xsi:type="dcterms:W3CDTF">2026-02-20T12:33:00Z</dcterms:created>
  <dcterms:modified xsi:type="dcterms:W3CDTF">2026-02-20T12:33:00Z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Pages</vt:lpwstr>
  </property>
  <property fmtid="{D5CDD505-2E9C-101B-9397-08002B2CF9AE}" pid="4" name="LastSaved">
    <vt:filetime>2025-09-15T00:00:00Z</vt:filetime>
  </property>
  <property fmtid="{D5CDD505-2E9C-101B-9397-08002B2CF9AE}" pid="5" name="Producer">
    <vt:lpwstr>iOS Version 18.5 (Build 22F76) Quartz PDFContext</vt:lpwstr>
  </property>
</Properties>
</file>